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F929B6" w:rsidRPr="002419B2" w:rsidRDefault="00F929B6" w:rsidP="00F929B6">
      <w:pPr>
        <w:jc w:val="center"/>
        <w:rPr>
          <w:bCs/>
        </w:rPr>
      </w:pPr>
      <w:r>
        <w:rPr>
          <w:bCs/>
        </w:rPr>
        <w:t>Healthcare Administration</w:t>
      </w:r>
    </w:p>
    <w:p w:rsidR="006E645A" w:rsidRPr="009F53D9" w:rsidRDefault="004F430B" w:rsidP="00B063BC">
      <w:pPr>
        <w:jc w:val="center"/>
      </w:pPr>
      <w:r w:rsidRPr="009F53D9">
        <w:t>Name</w:t>
      </w:r>
    </w:p>
    <w:p w:rsidR="006E645A" w:rsidRPr="009F53D9" w:rsidRDefault="004F430B" w:rsidP="00B063BC">
      <w:pPr>
        <w:jc w:val="center"/>
      </w:pPr>
      <w:r w:rsidRPr="009F53D9">
        <w:t>Institution</w:t>
      </w:r>
    </w:p>
    <w:p w:rsidR="00F51FB9" w:rsidRDefault="004F430B" w:rsidP="00B20C0E">
      <w:pPr>
        <w:jc w:val="center"/>
      </w:pPr>
      <w:r w:rsidRPr="009F53D9">
        <w:t>Date</w:t>
      </w: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F929B6" w:rsidRPr="002419B2" w:rsidRDefault="00F929B6" w:rsidP="00F929B6">
      <w:pPr>
        <w:jc w:val="center"/>
        <w:rPr>
          <w:bCs/>
        </w:rPr>
      </w:pPr>
      <w:r>
        <w:rPr>
          <w:bCs/>
        </w:rPr>
        <w:lastRenderedPageBreak/>
        <w:t>Healthcare Administration</w:t>
      </w:r>
    </w:p>
    <w:p w:rsidR="00F929B6" w:rsidRPr="00575622" w:rsidRDefault="00F929B6" w:rsidP="00F929B6">
      <w:pPr>
        <w:jc w:val="center"/>
        <w:rPr>
          <w:b/>
          <w:bCs/>
        </w:rPr>
      </w:pPr>
      <w:r w:rsidRPr="00575622">
        <w:rPr>
          <w:b/>
          <w:bCs/>
        </w:rPr>
        <w:t>Question 1</w:t>
      </w:r>
    </w:p>
    <w:p w:rsidR="00A530E7" w:rsidRDefault="00A530E7" w:rsidP="00A530E7">
      <w:pPr>
        <w:ind w:firstLine="720"/>
      </w:pPr>
      <w:r w:rsidRPr="00A530E7">
        <w:t>The usage of the beds and other hospital facilities by the patients and hospital staff is basically based on the utilization reviews, which are always made by the physicians. The decision as to which patient should be discharged and which ones should remain admitted in hospital also remains on the physicians' judgement. The physicians need to be in the know how on the patients who are well enough to be discharged and also those that require transfer to seek spe</w:t>
      </w:r>
      <w:r>
        <w:t>cialized treatment (Showalter, 2</w:t>
      </w:r>
      <w:r w:rsidRPr="00A530E7">
        <w:t xml:space="preserve">012). This will ensure that the hospital facilities, including beds, are readily available to patients who need them, current or future at all times. </w:t>
      </w:r>
    </w:p>
    <w:p w:rsidR="00A530E7" w:rsidRDefault="00A530E7" w:rsidP="00A530E7">
      <w:pPr>
        <w:ind w:firstLine="720"/>
      </w:pPr>
      <w:r w:rsidRPr="00A530E7">
        <w:t xml:space="preserve">On their part, patients who have been examined by the physicians and considered to be well enough to be discharged or need to be transferred should comply with the physicians' recommendations. This is because, failure to leave the hospital premise may mean that the current needy patients may have to share the hospital facilities, which they need more with them while they do not really need them. In addition to that, failure to leave means that these patients occupy beds and facilities which could be needed by future patients. Therefore, in such situations, the hospital may need to act within its legal frameworks and secure injunctions that will force such patients to leave. Therefore, in conclusion, it is right to say that the duty of ensuring that beds and facilities are reserved for those who need them is owed to both the current </w:t>
      </w:r>
      <w:r>
        <w:t xml:space="preserve">and future patients (Showalter, </w:t>
      </w:r>
      <w:r w:rsidRPr="00A530E7">
        <w:t>2012).</w:t>
      </w:r>
    </w:p>
    <w:p w:rsidR="00A530E7" w:rsidRDefault="00A530E7" w:rsidP="00876700">
      <w:pPr>
        <w:jc w:val="center"/>
      </w:pPr>
    </w:p>
    <w:p w:rsidR="00A530E7" w:rsidRDefault="00A530E7" w:rsidP="00876700">
      <w:pPr>
        <w:jc w:val="center"/>
      </w:pPr>
    </w:p>
    <w:p w:rsidR="00A530E7" w:rsidRDefault="00A530E7" w:rsidP="00876700">
      <w:pPr>
        <w:jc w:val="center"/>
      </w:pPr>
    </w:p>
    <w:p w:rsidR="00A530E7" w:rsidRDefault="00A530E7" w:rsidP="00876700">
      <w:pPr>
        <w:jc w:val="center"/>
      </w:pPr>
    </w:p>
    <w:p w:rsidR="00876700" w:rsidRPr="00575622" w:rsidRDefault="00876700" w:rsidP="00876700">
      <w:pPr>
        <w:jc w:val="center"/>
      </w:pPr>
      <w:r w:rsidRPr="00575622">
        <w:lastRenderedPageBreak/>
        <w:t xml:space="preserve">References </w:t>
      </w:r>
    </w:p>
    <w:p w:rsidR="00EF7933" w:rsidRPr="00575622" w:rsidRDefault="00876700" w:rsidP="00A530E7">
      <w:pPr>
        <w:ind w:left="720" w:hanging="720"/>
      </w:pPr>
      <w:r w:rsidRPr="00575622">
        <w:t>Showalter, J. S. (2012). The Law of Healthcare Administration. (7th ed.). Chicago, IL: Health Administration Press. ISBN: 978-1-56793-644-5</w:t>
      </w:r>
      <w:r w:rsidR="00DA24E6">
        <w:t>ion</w:t>
      </w:r>
    </w:p>
    <w:p w:rsidR="00F929B6" w:rsidRPr="00575622" w:rsidRDefault="00F929B6" w:rsidP="00F929B6">
      <w:pPr>
        <w:jc w:val="center"/>
        <w:rPr>
          <w:b/>
          <w:bCs/>
        </w:rPr>
      </w:pPr>
      <w:r w:rsidRPr="00575622">
        <w:rPr>
          <w:b/>
          <w:bCs/>
        </w:rPr>
        <w:t>Question 2</w:t>
      </w:r>
    </w:p>
    <w:p w:rsidR="00A530E7" w:rsidRDefault="00A530E7" w:rsidP="00A530E7">
      <w:pPr>
        <w:ind w:firstLine="720"/>
      </w:pPr>
      <w:r>
        <w:t xml:space="preserve">According to Showalter (2012), when it comes to issues that threaten the patient's insurance coverage, the hospital and physicians are tasked with the responsibility of acting as the patient's advocates. In doing so, they are required to act in a manner that is intended to safeguard the patient's health interests. This may mean that they will have to decide as to whether to provide health services to patients who are not able to afford such services. When they are faced with such a situation, the decisions as to whether the patient should undergo treatment solely rely on the physician's and hospital's ethical orientation. The hospital is also tasked with the responsibility of ensuring that its services are economically favourable to individuals in all walks of life. </w:t>
      </w:r>
    </w:p>
    <w:p w:rsidR="00A530E7" w:rsidRDefault="00A530E7" w:rsidP="00A530E7">
      <w:pPr>
        <w:ind w:firstLine="720"/>
      </w:pPr>
      <w:r>
        <w:t>In addition to this, these parties all have a legal and professional responsibility of providing health care services to the best of their abilities to patients who are in need regardless of the financial situations (Hall et al., 2018). While disbursing these health care treatments and services, the physicians and hospitals need to ensure that they remain well within their legal frameworks. This may include involving family and kin when it comes to making major decisions concerning the patient's health and payment procedures, especially when there are issues with insurance coverage. Such decisions may help in avoiding legal confrontations between the hospital and the patient or his/her family. The physician may also be in a better position to advise the patient on how to solve the tensions.</w:t>
      </w:r>
    </w:p>
    <w:p w:rsidR="00876700" w:rsidRDefault="00876700" w:rsidP="00A530E7">
      <w:pPr>
        <w:jc w:val="center"/>
      </w:pPr>
      <w:r w:rsidRPr="00575622">
        <w:t xml:space="preserve">References </w:t>
      </w:r>
    </w:p>
    <w:p w:rsidR="00EF7933" w:rsidRPr="00EF7933" w:rsidRDefault="00EF7933" w:rsidP="00EF7933">
      <w:pPr>
        <w:ind w:left="720" w:hanging="720"/>
        <w:rPr>
          <w:rFonts w:eastAsia="Times New Roman"/>
          <w:color w:val="222222"/>
          <w:shd w:val="clear" w:color="auto" w:fill="FFFFFF"/>
        </w:rPr>
      </w:pPr>
      <w:r w:rsidRPr="009F7BFE">
        <w:rPr>
          <w:rFonts w:eastAsia="Times New Roman"/>
          <w:color w:val="222222"/>
          <w:shd w:val="clear" w:color="auto" w:fill="FFFFFF"/>
        </w:rPr>
        <w:lastRenderedPageBreak/>
        <w:t>Hall, M. A., Orentlicher, D., Bobinski, M. A., Bagley, N., &amp; Cohen, I. G. (2018). </w:t>
      </w:r>
      <w:r w:rsidRPr="009F7BFE">
        <w:rPr>
          <w:rFonts w:eastAsia="Times New Roman"/>
          <w:i/>
          <w:iCs/>
          <w:color w:val="222222"/>
          <w:shd w:val="clear" w:color="auto" w:fill="FFFFFF"/>
        </w:rPr>
        <w:t>Health care law and ethics</w:t>
      </w:r>
      <w:r w:rsidRPr="009F7BFE">
        <w:rPr>
          <w:rFonts w:eastAsia="Times New Roman"/>
          <w:color w:val="222222"/>
          <w:shd w:val="clear" w:color="auto" w:fill="FFFFFF"/>
        </w:rPr>
        <w:t>. Wolters Kluwer Law &amp; Business.</w:t>
      </w:r>
    </w:p>
    <w:p w:rsidR="00876700" w:rsidRPr="00575622" w:rsidRDefault="00876700" w:rsidP="00876700">
      <w:pPr>
        <w:ind w:left="720" w:hanging="720"/>
      </w:pPr>
      <w:r w:rsidRPr="00575622">
        <w:t>Showalter, J. S. (2012). The Law of Healthcare Administration. (7th ed.). Chicago, IL: Health Administration Press. ISBN: 978-1-56793-644-5</w:t>
      </w:r>
    </w:p>
    <w:p w:rsidR="00F929B6" w:rsidRPr="00575622" w:rsidRDefault="00F929B6" w:rsidP="00F929B6">
      <w:pPr>
        <w:jc w:val="center"/>
        <w:rPr>
          <w:b/>
          <w:bCs/>
        </w:rPr>
      </w:pPr>
      <w:r w:rsidRPr="00575622">
        <w:rPr>
          <w:b/>
          <w:bCs/>
        </w:rPr>
        <w:t>Question 3</w:t>
      </w:r>
    </w:p>
    <w:p w:rsidR="00A530E7" w:rsidRDefault="00A530E7" w:rsidP="00A530E7">
      <w:pPr>
        <w:ind w:firstLine="720"/>
      </w:pPr>
      <w:r>
        <w:t>The case was based on two powers which were granted to the Congress by the constitution. The first one is the power to regulate commerce with foreign nations and several states and the second the power to lay and collect taxes, duties, imposts and exercises to pay debts and provide for the common defence and general welfare of the United States (Showalter 2012). Several plaintiffs, Florida State alongside 25 other states and National Federation of Independent Businesses, argued before the District Court for the Northern District of Florida against the application of these powers of Congress in the Patient Protection and Affordable Care Act of 2010. This act, though aimed at increasing the number of health insurance coverage and decreasing costs of health care, comprised of two provisions of contention. The first was the Individual Mandate, and the other was the Medicaid Expansion (Showalter 2012).</w:t>
      </w:r>
    </w:p>
    <w:p w:rsidR="00A530E7" w:rsidRDefault="00A530E7" w:rsidP="00A530E7">
      <w:pPr>
        <w:ind w:firstLine="720"/>
      </w:pPr>
      <w:r>
        <w:t xml:space="preserve"> Under the Individual Mandate provision, citizens were required to maintain a "minimum essential" obtained through their employers. Those that were not employed were required to obtain health insurance from private insurance companies to meet this minimum. Failure to doing this, citizens would be subjected to a penalty called "shared responsibility payment". The District Court agreed that Congress acted over its constitutional mandate and as a result, struck the Act in its entirety (Showalter 2012). When brought before the Court of Appeal for the Eleventh Circuit, the court agreed with the District Court in partiality. The Court of Appeal upheld the District Court's decision that the penalty imposed under the </w:t>
      </w:r>
      <w:r>
        <w:lastRenderedPageBreak/>
        <w:t>Individual mandate did not qualify to be classified as a tax and therefore, Congress demanding that citizens pay the penalty was overstepping on its constitutional powers. The District Court, therefore, struck this provision down but left the other provisions of the act intact. Congress was also seeking to expand the Medicaid program by requiring states to provide Medicaid coverage to adults with income up to 133% of federal poverty levels. Under the act, federal funding would be increased although states would have to bear part of the costs. Any state that failed to comply with the act risked losing the Federal funding (Showalter 2012).</w:t>
      </w:r>
    </w:p>
    <w:p w:rsidR="00A530E7" w:rsidRDefault="00A530E7" w:rsidP="00A530E7">
      <w:pPr>
        <w:ind w:firstLine="720"/>
      </w:pPr>
      <w:r>
        <w:t xml:space="preserve">A grant for the right of an appeal allowed the case to be brought before the Supreme Court judges. Here, the Government argued that Individual Mandate provision was aimed at solving the issue of cost-shifting. The government argued that the provision was an attempt to create a pool of healthy citizens, which would allow for subsidized healthcare costs to cover the small unhealthy group in the population. This, according to the government, was well within Congress' powers as stipulated by the constitution under the Commerce and Necessary and Proper Clauses (Showalter 2012). It further argued that Congress aimed at increasing the number of citizens involved in active commerce by compelling them to buy insurance coverage from private insurance companies. The Supreme Court however held that allowing Congress to force citizens into buying insurance based on the Commerce Clause would create an endless basis of its powers. The counter-argument from the government was based on the argument that the Individual Mandate was covered by the powers of Congress to lay and collect taxes though in the provision the tax was referred to as a "penalty". On this matter, the Chief Justice invoked the Anti-Injunction Act (AIA), which states that taxes can only be challenged when asking for refunds after they have been paid. Therefore, since the ACA labelled the shared responsibility payments as "penalties", they do not fall under the requirements stipulated by the AIA Act and cannot be treated as taxes (Showalter 2012). </w:t>
      </w:r>
    </w:p>
    <w:p w:rsidR="00A530E7" w:rsidRDefault="00A530E7" w:rsidP="00A530E7">
      <w:pPr>
        <w:ind w:firstLine="720"/>
      </w:pPr>
      <w:r>
        <w:lastRenderedPageBreak/>
        <w:t>The Supreme Court agreed that the Individual mandate was a breach of the Commerce Clause. However, the act of increasing taxes on individuals who refuse to subscribe to health insurance was well within the powers of Congress (Showalter 2012). This decision resulted in consequences, both positive and negative. On the positive side, the plaintiffs were helped to evade payment of the Individual mandate penalties. In addition to that, Congress was given the go-ahead to collect taxes to help in the provision of healthcare services. On the negative side, Congress was denied the authority to collect penalties from individuals who refused to subscribe to any healthcare insurance. This meant that if an individual who failed to subscribe to health insurance benefitted from Medicaid, then they would be shifting their costs of healthcare to the few who had healthcare insurance.</w:t>
      </w:r>
    </w:p>
    <w:p w:rsidR="00A530E7" w:rsidRDefault="00A530E7" w:rsidP="00A530E7">
      <w:pPr>
        <w:ind w:firstLine="720"/>
      </w:pPr>
      <w:r>
        <w:t>On the issue of Medicaid expansion, the plaintiffs argued that compelling the states to adhere to the changes violated the basic principle that stops the Federal Government from administering federal regulation over individual states. On this matter, the Supreme Court decided that Congress had no power to compel the states to adhere to the new conditions of the grants (Showalter 2012). The court stated that states should be given a choice to accept or not. This decision fully benefited the plaintiffs as they were saved from the control of Congress. This was beneficial in indicating the intentions of the Framers in creating a Federal government with limited powers, and which was not aided into coercing the individual states into making decisions.</w:t>
      </w:r>
    </w:p>
    <w:p w:rsidR="00A530E7" w:rsidRDefault="00A530E7" w:rsidP="00A530E7">
      <w:pPr>
        <w:jc w:val="center"/>
      </w:pPr>
    </w:p>
    <w:p w:rsidR="00DE761B" w:rsidRDefault="00DE761B" w:rsidP="00F929B6">
      <w:pPr>
        <w:jc w:val="center"/>
      </w:pPr>
    </w:p>
    <w:p w:rsidR="00DE761B" w:rsidRDefault="00DE761B" w:rsidP="00A530E7"/>
    <w:p w:rsidR="00F929B6" w:rsidRPr="00575622" w:rsidRDefault="00F929B6" w:rsidP="00F929B6">
      <w:pPr>
        <w:jc w:val="center"/>
      </w:pPr>
      <w:r w:rsidRPr="00575622">
        <w:t xml:space="preserve">References </w:t>
      </w:r>
    </w:p>
    <w:p w:rsidR="00F929B6" w:rsidRPr="00575622" w:rsidRDefault="00F929B6" w:rsidP="00F929B6">
      <w:pPr>
        <w:ind w:left="720" w:hanging="720"/>
      </w:pPr>
      <w:r w:rsidRPr="00575622">
        <w:lastRenderedPageBreak/>
        <w:t>Showalter, J. S. (2012). The Law of Healthcare Administration. (7th ed.). Chicago, IL: Health Administration Press. ISBN: 978-1-56793-644-5</w:t>
      </w:r>
    </w:p>
    <w:p w:rsidR="00B20C0E" w:rsidRPr="00B20C0E" w:rsidRDefault="00B20C0E" w:rsidP="00F929B6">
      <w:pPr>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53F8" w:rsidRDefault="006C53F8">
      <w:pPr>
        <w:spacing w:after="0" w:line="240" w:lineRule="auto"/>
      </w:pPr>
      <w:r>
        <w:separator/>
      </w:r>
    </w:p>
  </w:endnote>
  <w:endnote w:type="continuationSeparator" w:id="1">
    <w:p w:rsidR="006C53F8" w:rsidRDefault="006C53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53F8" w:rsidRDefault="006C53F8">
      <w:pPr>
        <w:spacing w:after="0" w:line="240" w:lineRule="auto"/>
      </w:pPr>
      <w:r>
        <w:separator/>
      </w:r>
    </w:p>
  </w:footnote>
  <w:footnote w:type="continuationSeparator" w:id="1">
    <w:p w:rsidR="006C53F8" w:rsidRDefault="006C53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F929B6" w:rsidP="00B20C0E">
        <w:r>
          <w:rPr>
            <w:bCs/>
          </w:rPr>
          <w:t>HEALTHCARE ADMINISTRATION</w:t>
        </w:r>
        <w:r w:rsidR="00B20C0E">
          <w:tab/>
        </w:r>
        <w:r w:rsidR="00B20C0E">
          <w:tab/>
        </w:r>
        <w:r w:rsidR="00B20C0E">
          <w:tab/>
        </w:r>
        <w:r w:rsidR="00B20C0E">
          <w:tab/>
        </w:r>
        <w:r w:rsidR="0007681D">
          <w:tab/>
        </w:r>
        <w:r w:rsidR="0007681D">
          <w:tab/>
        </w:r>
        <w:r w:rsidR="004F430B">
          <w:tab/>
        </w:r>
        <w:r w:rsidR="00254A91">
          <w:fldChar w:fldCharType="begin"/>
        </w:r>
        <w:r w:rsidR="00532362">
          <w:instrText xml:space="preserve"> PAGE   \* MERGEFORMAT </w:instrText>
        </w:r>
        <w:r w:rsidR="00254A91">
          <w:fldChar w:fldCharType="separate"/>
        </w:r>
        <w:r w:rsidR="00DA24E6">
          <w:rPr>
            <w:noProof/>
          </w:rPr>
          <w:t>2</w:t>
        </w:r>
        <w:r w:rsidR="00254A91">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F929B6" w:rsidRDefault="004F430B" w:rsidP="00F929B6">
    <w:pPr>
      <w:rPr>
        <w:bCs/>
      </w:rPr>
    </w:pPr>
    <w:r>
      <w:t>Running head:</w:t>
    </w:r>
    <w:r w:rsidR="000C7154">
      <w:t xml:space="preserve"> </w:t>
    </w:r>
    <w:r w:rsidR="00F929B6">
      <w:rPr>
        <w:bCs/>
      </w:rPr>
      <w:t>HEALTHCARE ADMINISTRATION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154"/>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2F2C"/>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52077"/>
    <w:rsid w:val="00252C8B"/>
    <w:rsid w:val="00254A91"/>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20B74"/>
    <w:rsid w:val="00621421"/>
    <w:rsid w:val="00621C42"/>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53F8"/>
    <w:rsid w:val="006C6CC5"/>
    <w:rsid w:val="006D69FD"/>
    <w:rsid w:val="006E3678"/>
    <w:rsid w:val="006E5C4A"/>
    <w:rsid w:val="006E645A"/>
    <w:rsid w:val="006F3DE0"/>
    <w:rsid w:val="006F53BC"/>
    <w:rsid w:val="006F6292"/>
    <w:rsid w:val="00700E24"/>
    <w:rsid w:val="0070396D"/>
    <w:rsid w:val="00711CFF"/>
    <w:rsid w:val="00717640"/>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ECD"/>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6700"/>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30E7"/>
    <w:rsid w:val="00A541D4"/>
    <w:rsid w:val="00A54B26"/>
    <w:rsid w:val="00A56A5A"/>
    <w:rsid w:val="00A56AD0"/>
    <w:rsid w:val="00A608F2"/>
    <w:rsid w:val="00A64BEF"/>
    <w:rsid w:val="00A6607D"/>
    <w:rsid w:val="00A66C47"/>
    <w:rsid w:val="00A67384"/>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5677D"/>
    <w:rsid w:val="00B612A0"/>
    <w:rsid w:val="00B64B8C"/>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76A64"/>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19EC"/>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4E6"/>
    <w:rsid w:val="00DA283F"/>
    <w:rsid w:val="00DB5576"/>
    <w:rsid w:val="00DB767C"/>
    <w:rsid w:val="00DC07F5"/>
    <w:rsid w:val="00DD0859"/>
    <w:rsid w:val="00DD1547"/>
    <w:rsid w:val="00DE37B6"/>
    <w:rsid w:val="00DE761B"/>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0C4A"/>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3A80"/>
    <w:rsid w:val="00ED612B"/>
    <w:rsid w:val="00ED6AB9"/>
    <w:rsid w:val="00ED6EEE"/>
    <w:rsid w:val="00EE2A82"/>
    <w:rsid w:val="00EE45B7"/>
    <w:rsid w:val="00EF2788"/>
    <w:rsid w:val="00EF3084"/>
    <w:rsid w:val="00EF31A5"/>
    <w:rsid w:val="00EF7933"/>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819D0"/>
    <w:rsid w:val="00F82500"/>
    <w:rsid w:val="00F83D0E"/>
    <w:rsid w:val="00F85D15"/>
    <w:rsid w:val="00F85D95"/>
    <w:rsid w:val="00F861D7"/>
    <w:rsid w:val="00F87139"/>
    <w:rsid w:val="00F912C5"/>
    <w:rsid w:val="00F929B6"/>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1384</Words>
  <Characters>7893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2019-07-01T18:01:00Z</dcterms:created>
  <dcterms:modified xsi:type="dcterms:W3CDTF">2019-07-01T18:01:00Z</dcterms:modified>
</cp:coreProperties>
</file>